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2023年岭南学术论坛立项项目公示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2023年岭南学术论坛项目经资格审查、专家评审、省社科联党组审定、报省委宣传部备案，</w:t>
      </w:r>
      <w:r>
        <w:rPr>
          <w:rFonts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岭南学术论坛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ascii="仿宋_GB2312" w:hAnsi="仿宋_GB2312" w:eastAsia="仿宋_GB2312" w:cs="仿宋_GB2312"/>
          <w:sz w:val="32"/>
          <w:szCs w:val="32"/>
        </w:rPr>
        <w:t>举办14期，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由广东南方软实力研究院等14</w:t>
      </w:r>
      <w:r>
        <w:rPr>
          <w:rFonts w:ascii="仿宋_GB2312" w:hAnsi="仿宋_GB2312" w:eastAsia="仿宋_GB2312" w:cs="仿宋_GB2312"/>
          <w:sz w:val="32"/>
          <w:szCs w:val="32"/>
        </w:rPr>
        <w:t>家单位承办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每家单位承办1期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现将承办情况予以公示。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2023年6月12日至2023年6月17日。如有疑问，请联系省社科联社团联络部，联系人：吴竞飞，联系电话：020-83825712。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附件：2023年岭南学术论坛承办情况一览表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广东省社会科学界联合会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2023年6月12日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"/>
        </w:rPr>
        <w:t>岭南学术论坛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承办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情况一览表</w:t>
      </w:r>
    </w:p>
    <w:tbl>
      <w:tblPr>
        <w:tblStyle w:val="3"/>
        <w:tblW w:w="9450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2938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tabs>
                <w:tab w:val="left" w:pos="266"/>
              </w:tabs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承办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资助经费项目</w:t>
            </w: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广东南方软实力研究院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粤东粤西粤北产业“融湾”与广东县域经济高质量发展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潮州市社会科学界联合会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推动绿美广东生态建设，助推区域高质量协同发展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广东社会学学会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以人口高质量发展助推中国式现代化的广东实践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广东省人才创业研究会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粤港澳大湾区健康创业高质量</w:t>
            </w:r>
            <w:r>
              <w:rPr>
                <w:rFonts w:ascii="仿宋_GB2312" w:hAnsi="仿宋_GB2312" w:eastAsia="仿宋_GB2312" w:cs="仿宋_GB2312"/>
                <w:sz w:val="24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论坛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广东国际综观经济研究会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广东全面推进乡村振兴与实施“百县千镇万村高质量发展工程”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广东省安全管理研究会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新时代广东高质量发展与高水平安全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汕头大学、汕头市社科联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乡村振兴与农业农村现代化创新实践探索：百县千镇万村高质量发展工程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五邑大学、江门市委宣传部、江门市社科联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岭南华侨文脉的传承、创新与发展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广东省社会管理研究会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共同富裕与广东高质量发展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广东现代家庭文明与亲子教育学会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新时代广东红色文化的传承与弘扬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经费自筹项目</w:t>
            </w: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广东南方红色文化研究院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传承东江纵队红色基因，为广东在推进中国式现代化建设中走在前列而努力——纪念东江纵队成立八十周年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中共湛江市委党校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加快广东县域经济高质量发展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广东科贸职业学院、清远市社科联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百县千镇万村高质量发展工程与乡村振兴现代化引领示范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广东省企业风险管理研究会</w:t>
            </w:r>
          </w:p>
        </w:tc>
        <w:tc>
          <w:tcPr>
            <w:tcW w:w="501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广东高质量发展的思考:新思路与新举措在广东的实践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E04A5"/>
    <w:rsid w:val="54FE0C75"/>
    <w:rsid w:val="54FFE867"/>
    <w:rsid w:val="5CEFD50C"/>
    <w:rsid w:val="7DEF16C7"/>
    <w:rsid w:val="7F9C439A"/>
    <w:rsid w:val="7FE76481"/>
    <w:rsid w:val="8CEFEB6A"/>
    <w:rsid w:val="9FDE04A5"/>
    <w:rsid w:val="F3DF7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2022-08-24T15:51:00Z</dcterms:created>
  <dc:creator>xsy</dc:creator>
  <cp:lastModifiedBy>lenovo</cp:lastModifiedBy>
  <cp:lastPrinted>2023-06-12T18:30:00Z</cp:lastPrinted>
  <dcterms:modified xsi:type="dcterms:W3CDTF">2023-06-12T15:10:17Z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